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25854288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414F3E">
        <w:rPr>
          <w:rFonts w:ascii="Century Gothic" w:hAnsi="Century Gothic"/>
          <w:b/>
          <w:sz w:val="24"/>
          <w:szCs w:val="24"/>
        </w:rPr>
        <w:t>Cuarta</w:t>
      </w:r>
      <w:r w:rsidR="00A46F13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1849BB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1849BB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414F3E">
        <w:rPr>
          <w:rFonts w:ascii="Century Gothic" w:hAnsi="Century Gothic"/>
          <w:b/>
          <w:sz w:val="24"/>
          <w:szCs w:val="24"/>
        </w:rPr>
        <w:t>3:30 trece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414F3E">
        <w:rPr>
          <w:rFonts w:ascii="Century Gothic" w:hAnsi="Century Gothic"/>
          <w:b/>
          <w:sz w:val="24"/>
          <w:szCs w:val="24"/>
        </w:rPr>
        <w:t xml:space="preserve"> con treinta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414F3E">
        <w:rPr>
          <w:rFonts w:ascii="Century Gothic" w:hAnsi="Century Gothic"/>
          <w:b/>
          <w:sz w:val="24"/>
          <w:szCs w:val="24"/>
        </w:rPr>
        <w:t>15 quince</w:t>
      </w:r>
      <w:r w:rsidR="008A1887">
        <w:rPr>
          <w:rFonts w:ascii="Century Gothic" w:hAnsi="Century Gothic"/>
          <w:b/>
          <w:sz w:val="24"/>
          <w:szCs w:val="24"/>
        </w:rPr>
        <w:t xml:space="preserve"> de mayo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14F3E" w:rsidRPr="00414F3E" w:rsidRDefault="00414F3E" w:rsidP="00414F3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F3E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14F3E" w:rsidRPr="00414F3E" w:rsidRDefault="00414F3E" w:rsidP="00414F3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F3E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14F3E" w:rsidRPr="00414F3E" w:rsidRDefault="00414F3E" w:rsidP="00414F3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14F3E">
        <w:rPr>
          <w:rFonts w:ascii="Century Gothic" w:hAnsi="Century Gothic"/>
          <w:b w:val="0"/>
          <w:sz w:val="24"/>
          <w:szCs w:val="24"/>
        </w:rPr>
        <w:t xml:space="preserve">Recepción de los oficios 1285 y 3873/2018, que remiten los secretarios de Acuerdos del Sexto y Séptimo Tribunales Colegiados en Materia Administrativa del Tercer Circuito, relativos a los Juicios de Amparo 358/2017 y 333/2017 presentados los días 24 veinticuatro de abril y 14 catorce de mayo del presente año, respectivamente, mediante los cuales requieren a este Tribunal por el cumplimiento de las ejecutorias relativas a los juicios de amparo referidos. </w:t>
      </w:r>
    </w:p>
    <w:p w:rsidR="00414F3E" w:rsidRPr="00414F3E" w:rsidRDefault="00414F3E" w:rsidP="00414F3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4F3E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699/2017, Recurso de Reclamación derivado del Juicio Administrativo 1054/2017  del índice de la Quinta Sala Unitaria del Tribunal de Justicia Administrativa del Estado, en cumplimiento al Juicio de Amparo 358/2017 del Sexto Tribunal Colegiado en Materia Administrativa del Tercer Circuito. </w:t>
      </w:r>
    </w:p>
    <w:p w:rsidR="00360A2E" w:rsidRPr="00A46F13" w:rsidRDefault="00414F3E" w:rsidP="00414F3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14F3E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489/2017, Recurso de Apelación derivado del Juicio Administrativo 2250/2016  del índice de la Quinta Sala Unitaria del Tribunal de Justicia Administrativa del Estado, en cumplimiento al Juicio de Amparo 333/2017 del Séptimo Tribunal Colegiado en Materia Administrativa del Tercer Circuito</w:t>
      </w:r>
      <w:r w:rsidR="00360A2E" w:rsidRPr="004145F7">
        <w:rPr>
          <w:rFonts w:ascii="Century Gothic" w:hAnsi="Century Gothic"/>
          <w:b w:val="0"/>
          <w:sz w:val="24"/>
          <w:szCs w:val="24"/>
        </w:rPr>
        <w:t>.</w:t>
      </w:r>
      <w:r w:rsidR="00360A2E" w:rsidRPr="00A46F13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414F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14 DE MAYO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Default="00343475" w:rsidP="00C04B3E">
      <w:pPr>
        <w:spacing w:after="0"/>
        <w:rPr>
          <w:sz w:val="24"/>
          <w:szCs w:val="24"/>
        </w:rPr>
      </w:pPr>
    </w:p>
    <w:p w:rsidR="008A1887" w:rsidRDefault="008A1887" w:rsidP="00C04B3E">
      <w:pPr>
        <w:spacing w:after="0"/>
        <w:rPr>
          <w:sz w:val="24"/>
          <w:szCs w:val="24"/>
        </w:rPr>
      </w:pPr>
    </w:p>
    <w:p w:rsidR="008A1887" w:rsidRPr="00AE08D6" w:rsidRDefault="008A1887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125854288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849BB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F02C-19B7-4F19-B2A4-CABC0CA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2018-06-19T17:58:00Z</dcterms:created>
  <dcterms:modified xsi:type="dcterms:W3CDTF">2018-08-03T19:57:00Z</dcterms:modified>
</cp:coreProperties>
</file>